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08" w:rsidRDefault="00690A08" w:rsidP="00690A08">
      <w:pPr>
        <w:widowControl w:val="0"/>
        <w:rPr>
          <w:rFonts w:ascii="Arial" w:hAnsi="Arial" w:cs="Arial"/>
        </w:rPr>
      </w:pPr>
      <w:r>
        <w:rPr>
          <w:rFonts w:ascii="Arial" w:hAnsi="Arial" w:cs="Arial"/>
          <w:noProof/>
        </w:rPr>
        <w:drawing>
          <wp:inline distT="0" distB="0" distL="0" distR="0" wp14:anchorId="5F188268">
            <wp:extent cx="3023870" cy="774065"/>
            <wp:effectExtent l="0" t="0" r="508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3870" cy="774065"/>
                    </a:xfrm>
                    <a:prstGeom prst="rect">
                      <a:avLst/>
                    </a:prstGeom>
                    <a:noFill/>
                  </pic:spPr>
                </pic:pic>
              </a:graphicData>
            </a:graphic>
          </wp:inline>
        </w:drawing>
      </w:r>
    </w:p>
    <w:p w:rsidR="00E01D1E" w:rsidRDefault="00802372" w:rsidP="00C00F11">
      <w:pPr>
        <w:widowControl w:val="0"/>
        <w:jc w:val="center"/>
        <w:rPr>
          <w:rFonts w:ascii="Arial" w:hAnsi="Arial" w:cs="Arial"/>
        </w:rPr>
      </w:pPr>
      <w:r w:rsidRPr="00C00F11">
        <w:rPr>
          <w:rFonts w:ascii="Arial" w:hAnsi="Arial" w:cs="Arial"/>
        </w:rPr>
        <w:fldChar w:fldCharType="begin"/>
      </w:r>
      <w:r w:rsidR="00877F91" w:rsidRPr="00C00F11">
        <w:rPr>
          <w:rFonts w:ascii="Arial" w:hAnsi="Arial" w:cs="Arial"/>
        </w:rPr>
        <w:instrText xml:space="preserve"> SEQ CHAPTER \h \r 1</w:instrText>
      </w:r>
      <w:r w:rsidRPr="00C00F11">
        <w:rPr>
          <w:rFonts w:ascii="Arial" w:hAnsi="Arial" w:cs="Arial"/>
        </w:rPr>
        <w:fldChar w:fldCharType="end"/>
      </w:r>
      <w:r w:rsidR="00E01D1E">
        <w:rPr>
          <w:rFonts w:ascii="Arial" w:hAnsi="Arial" w:cs="Arial"/>
        </w:rPr>
        <w:t>CONSENT TO SPECIAL RATE OR CHARGE</w:t>
      </w:r>
    </w:p>
    <w:p w:rsidR="00D42B10" w:rsidRPr="00C00F11" w:rsidRDefault="00877F91" w:rsidP="00C00F11">
      <w:pPr>
        <w:widowControl w:val="0"/>
        <w:jc w:val="center"/>
        <w:rPr>
          <w:rFonts w:ascii="Arial" w:hAnsi="Arial" w:cs="Arial"/>
        </w:rPr>
      </w:pPr>
      <w:r w:rsidRPr="00C00F11">
        <w:rPr>
          <w:rFonts w:ascii="Arial" w:hAnsi="Arial" w:cs="Arial"/>
        </w:rPr>
        <w:t xml:space="preserve">PURSUANT TO </w:t>
      </w:r>
      <w:r w:rsidR="00DF1F51">
        <w:rPr>
          <w:rFonts w:ascii="Arial" w:hAnsi="Arial" w:cs="Arial"/>
        </w:rPr>
        <w:t xml:space="preserve">NJLTIRB </w:t>
      </w:r>
      <w:r w:rsidRPr="00C00F11">
        <w:rPr>
          <w:rFonts w:ascii="Arial" w:hAnsi="Arial" w:cs="Arial"/>
        </w:rPr>
        <w:t xml:space="preserve">RATE MANUAL </w:t>
      </w:r>
      <w:r w:rsidR="00DF1F51">
        <w:rPr>
          <w:rFonts w:ascii="Arial" w:hAnsi="Arial" w:cs="Arial"/>
        </w:rPr>
        <w:t>§</w:t>
      </w:r>
      <w:r w:rsidRPr="00C00F11">
        <w:rPr>
          <w:rFonts w:ascii="Arial" w:hAnsi="Arial" w:cs="Arial"/>
        </w:rPr>
        <w:t xml:space="preserve"> 3.1.5</w:t>
      </w:r>
    </w:p>
    <w:p w:rsidR="00D42B10" w:rsidRPr="00C00F11" w:rsidRDefault="00D42B10" w:rsidP="00C00F11">
      <w:pPr>
        <w:widowControl w:val="0"/>
        <w:rPr>
          <w:rFonts w:ascii="Arial" w:hAnsi="Arial" w:cs="Arial"/>
        </w:rPr>
      </w:pPr>
    </w:p>
    <w:p w:rsidR="00D42B10" w:rsidRPr="00690A08" w:rsidRDefault="00DF1F51" w:rsidP="00C00F11">
      <w:pPr>
        <w:widowControl w:val="0"/>
        <w:tabs>
          <w:tab w:val="center" w:pos="4680"/>
        </w:tabs>
        <w:rPr>
          <w:rFonts w:ascii="Arial" w:hAnsi="Arial" w:cs="Arial"/>
          <w:sz w:val="22"/>
          <w:szCs w:val="22"/>
        </w:rPr>
      </w:pPr>
      <w:r w:rsidRPr="00690A08">
        <w:rPr>
          <w:rFonts w:ascii="Arial" w:hAnsi="Arial" w:cs="Arial"/>
          <w:sz w:val="22"/>
          <w:szCs w:val="22"/>
        </w:rPr>
        <w:t xml:space="preserve">File No. </w:t>
      </w:r>
      <w:r w:rsidR="00877F91" w:rsidRPr="00690A08">
        <w:rPr>
          <w:rFonts w:ascii="Arial" w:hAnsi="Arial" w:cs="Arial"/>
          <w:sz w:val="22"/>
          <w:szCs w:val="22"/>
        </w:rPr>
        <w:t>__________________</w:t>
      </w:r>
      <w:proofErr w:type="gramStart"/>
      <w:r w:rsidR="00877F91" w:rsidRPr="00690A08">
        <w:rPr>
          <w:rFonts w:ascii="Arial" w:hAnsi="Arial" w:cs="Arial"/>
          <w:sz w:val="22"/>
          <w:szCs w:val="22"/>
        </w:rPr>
        <w:t>_</w:t>
      </w:r>
      <w:r w:rsidRPr="00690A08">
        <w:rPr>
          <w:rFonts w:ascii="Arial" w:hAnsi="Arial" w:cs="Arial"/>
          <w:sz w:val="22"/>
          <w:szCs w:val="22"/>
        </w:rPr>
        <w:t xml:space="preserve">  Title</w:t>
      </w:r>
      <w:proofErr w:type="gramEnd"/>
      <w:r w:rsidRPr="00690A08">
        <w:rPr>
          <w:rFonts w:ascii="Arial" w:hAnsi="Arial" w:cs="Arial"/>
          <w:sz w:val="22"/>
          <w:szCs w:val="22"/>
        </w:rPr>
        <w:t xml:space="preserve"> Company/Agent </w:t>
      </w:r>
      <w:r w:rsidR="00877F91" w:rsidRPr="00690A08">
        <w:rPr>
          <w:rFonts w:ascii="Arial" w:hAnsi="Arial" w:cs="Arial"/>
          <w:sz w:val="22"/>
          <w:szCs w:val="22"/>
        </w:rPr>
        <w:t>__________________________</w:t>
      </w:r>
    </w:p>
    <w:p w:rsidR="00D42B10" w:rsidRPr="00690A08" w:rsidRDefault="00D42B10" w:rsidP="00C00F11">
      <w:pPr>
        <w:widowControl w:val="0"/>
        <w:rPr>
          <w:rFonts w:ascii="Arial" w:hAnsi="Arial" w:cs="Arial"/>
          <w:sz w:val="22"/>
          <w:szCs w:val="22"/>
        </w:rPr>
      </w:pPr>
    </w:p>
    <w:p w:rsidR="00D42B10" w:rsidRPr="00690A08" w:rsidRDefault="00DF1F51" w:rsidP="00C00F11">
      <w:pPr>
        <w:widowControl w:val="0"/>
        <w:tabs>
          <w:tab w:val="center" w:pos="4680"/>
        </w:tabs>
        <w:rPr>
          <w:rFonts w:ascii="Arial" w:hAnsi="Arial" w:cs="Arial"/>
          <w:sz w:val="22"/>
          <w:szCs w:val="22"/>
        </w:rPr>
      </w:pPr>
      <w:r w:rsidRPr="00690A08">
        <w:rPr>
          <w:rFonts w:ascii="Arial" w:hAnsi="Arial" w:cs="Arial"/>
          <w:sz w:val="22"/>
          <w:szCs w:val="22"/>
        </w:rPr>
        <w:t xml:space="preserve">Property Address or Transaction Identifier </w:t>
      </w:r>
      <w:r w:rsidR="00877F91" w:rsidRPr="00690A08">
        <w:rPr>
          <w:rFonts w:ascii="Arial" w:hAnsi="Arial" w:cs="Arial"/>
          <w:sz w:val="22"/>
          <w:szCs w:val="22"/>
        </w:rPr>
        <w:t>____________________________________</w:t>
      </w:r>
    </w:p>
    <w:p w:rsidR="00D42B10" w:rsidRPr="00690A08" w:rsidRDefault="00D42B10" w:rsidP="00DF1F51">
      <w:pPr>
        <w:widowControl w:val="0"/>
        <w:rPr>
          <w:rFonts w:ascii="Arial" w:hAnsi="Arial" w:cs="Arial"/>
          <w:sz w:val="22"/>
          <w:szCs w:val="22"/>
        </w:rPr>
      </w:pPr>
    </w:p>
    <w:p w:rsidR="00D42B10" w:rsidRPr="00690A08" w:rsidRDefault="00877F91" w:rsidP="00895B4F">
      <w:pPr>
        <w:widowControl w:val="0"/>
        <w:spacing w:after="120"/>
        <w:rPr>
          <w:rFonts w:ascii="Arial" w:hAnsi="Arial" w:cs="Arial"/>
          <w:sz w:val="22"/>
          <w:szCs w:val="22"/>
        </w:rPr>
      </w:pPr>
      <w:r w:rsidRPr="00690A08">
        <w:rPr>
          <w:rFonts w:ascii="Arial" w:hAnsi="Arial" w:cs="Arial"/>
          <w:sz w:val="22"/>
          <w:szCs w:val="22"/>
        </w:rPr>
        <w:t>The undersigned applicant</w:t>
      </w:r>
      <w:r w:rsidR="00DF1F51" w:rsidRPr="00690A08">
        <w:rPr>
          <w:rFonts w:ascii="Arial" w:hAnsi="Arial" w:cs="Arial"/>
          <w:sz w:val="22"/>
          <w:szCs w:val="22"/>
        </w:rPr>
        <w:t xml:space="preserve"> or proposed insured</w:t>
      </w:r>
      <w:r w:rsidRPr="00690A08">
        <w:rPr>
          <w:rFonts w:ascii="Arial" w:hAnsi="Arial" w:cs="Arial"/>
          <w:sz w:val="22"/>
          <w:szCs w:val="22"/>
        </w:rPr>
        <w:t xml:space="preserve"> for a title insurance </w:t>
      </w:r>
      <w:r w:rsidR="00DF1F51" w:rsidRPr="00690A08">
        <w:rPr>
          <w:rFonts w:ascii="Arial" w:hAnsi="Arial" w:cs="Arial"/>
          <w:sz w:val="22"/>
          <w:szCs w:val="22"/>
        </w:rPr>
        <w:t xml:space="preserve">policy or policies </w:t>
      </w:r>
      <w:r w:rsidRPr="00690A08">
        <w:rPr>
          <w:rFonts w:ascii="Arial" w:hAnsi="Arial" w:cs="Arial"/>
          <w:sz w:val="22"/>
          <w:szCs w:val="22"/>
        </w:rPr>
        <w:t>ha</w:t>
      </w:r>
      <w:r w:rsidR="00DF1F51" w:rsidRPr="00690A08">
        <w:rPr>
          <w:rFonts w:ascii="Arial" w:hAnsi="Arial" w:cs="Arial"/>
          <w:sz w:val="22"/>
          <w:szCs w:val="22"/>
        </w:rPr>
        <w:t>s</w:t>
      </w:r>
      <w:r w:rsidRPr="00690A08">
        <w:rPr>
          <w:rFonts w:ascii="Arial" w:hAnsi="Arial" w:cs="Arial"/>
          <w:sz w:val="22"/>
          <w:szCs w:val="22"/>
        </w:rPr>
        <w:t xml:space="preserve"> been advised that </w:t>
      </w:r>
      <w:r w:rsidR="00DF1F51" w:rsidRPr="00690A08">
        <w:rPr>
          <w:rFonts w:ascii="Arial" w:hAnsi="Arial" w:cs="Arial"/>
          <w:sz w:val="22"/>
          <w:szCs w:val="22"/>
        </w:rPr>
        <w:t>NJLTIRB Rate Manual §3.1.5 provides for the following</w:t>
      </w:r>
      <w:r w:rsidRPr="00690A08">
        <w:rPr>
          <w:rFonts w:ascii="Arial" w:hAnsi="Arial" w:cs="Arial"/>
          <w:sz w:val="22"/>
          <w:szCs w:val="22"/>
        </w:rPr>
        <w:t>:</w:t>
      </w:r>
    </w:p>
    <w:p w:rsidR="00DF1F51" w:rsidRPr="00690A08" w:rsidRDefault="00DF1F51" w:rsidP="00895B4F">
      <w:pPr>
        <w:pStyle w:val="ListParagraph"/>
        <w:widowControl w:val="0"/>
        <w:numPr>
          <w:ilvl w:val="0"/>
          <w:numId w:val="4"/>
        </w:numPr>
        <w:spacing w:after="120"/>
        <w:contextualSpacing w:val="0"/>
        <w:rPr>
          <w:rFonts w:ascii="Arial" w:hAnsi="Arial" w:cs="Arial"/>
          <w:sz w:val="22"/>
          <w:szCs w:val="22"/>
        </w:rPr>
      </w:pPr>
      <w:r w:rsidRPr="00690A08">
        <w:rPr>
          <w:rFonts w:ascii="Arial" w:hAnsi="Arial" w:cs="Arial"/>
          <w:sz w:val="22"/>
          <w:szCs w:val="22"/>
        </w:rPr>
        <w:t>The underwriting rates for title insurance contained in the underwriting schedules in this Rate Manual apply to the usual or standard title insurance matter, one not involving special risks or unusual hazards.  When an insurer is requested to insure a title involving special risks or unusual hazards, such insurance may be issued upon payment of such additional charges as the insurer believes are commensurate with the undertaking.</w:t>
      </w:r>
    </w:p>
    <w:p w:rsidR="006D29B9" w:rsidRPr="00690A08" w:rsidRDefault="00DF1F51">
      <w:pPr>
        <w:pStyle w:val="ListParagraph"/>
        <w:widowControl w:val="0"/>
        <w:numPr>
          <w:ilvl w:val="0"/>
          <w:numId w:val="4"/>
        </w:numPr>
        <w:spacing w:after="120"/>
        <w:contextualSpacing w:val="0"/>
        <w:rPr>
          <w:rFonts w:ascii="Arial" w:hAnsi="Arial" w:cs="Arial"/>
          <w:sz w:val="22"/>
          <w:szCs w:val="22"/>
        </w:rPr>
      </w:pPr>
      <w:r w:rsidRPr="00690A08">
        <w:rPr>
          <w:rFonts w:ascii="Arial" w:hAnsi="Arial" w:cs="Arial"/>
          <w:sz w:val="22"/>
          <w:szCs w:val="22"/>
        </w:rPr>
        <w:t>The examination charges set forth in this Rate Manual contemplate the normal or ordinary examination of title, one not requiring extraordinary time and/or expertise.  When an insurer or its agent is requested to conduct an examination which requires extraordinary time and/or expertise, the said insurer reserves the right to impose additional examination charges commensurate with the work involved.</w:t>
      </w:r>
    </w:p>
    <w:p w:rsidR="006D29B9" w:rsidRPr="00690A08" w:rsidRDefault="00DF1F51">
      <w:pPr>
        <w:pStyle w:val="ListParagraph"/>
        <w:widowControl w:val="0"/>
        <w:numPr>
          <w:ilvl w:val="0"/>
          <w:numId w:val="4"/>
        </w:numPr>
        <w:spacing w:after="120"/>
        <w:contextualSpacing w:val="0"/>
        <w:rPr>
          <w:rFonts w:ascii="Arial" w:hAnsi="Arial" w:cs="Arial"/>
          <w:sz w:val="22"/>
          <w:szCs w:val="22"/>
        </w:rPr>
      </w:pPr>
      <w:r w:rsidRPr="00690A08">
        <w:rPr>
          <w:rFonts w:ascii="Arial" w:hAnsi="Arial" w:cs="Arial"/>
          <w:sz w:val="22"/>
          <w:szCs w:val="22"/>
        </w:rPr>
        <w:t>The closing or settlement charges set forth in this Rate Manual contemplate the normal or usual settlement, one not involving an unusually long or complex closing or settlement, or one not involving the performance of extensive pre- or post- closing- or settlement-related functions, or, in the case of a settlement with disbursements, an unusually large number of disbursement checks or wire transfers or documents to be recorded.  When an insurer or its agent is asked to attend or conduct such a closing or settlement, the insurer or agent may impose an additional charge commensurate with the time and effort involved.</w:t>
      </w:r>
    </w:p>
    <w:p w:rsidR="00D42B10" w:rsidRPr="00690A08" w:rsidRDefault="00DF1F51" w:rsidP="00895B4F">
      <w:pPr>
        <w:widowControl w:val="0"/>
        <w:spacing w:after="120"/>
        <w:rPr>
          <w:rFonts w:ascii="Arial" w:hAnsi="Arial" w:cs="Arial"/>
          <w:sz w:val="22"/>
          <w:szCs w:val="22"/>
        </w:rPr>
      </w:pPr>
      <w:r w:rsidRPr="00690A08">
        <w:rPr>
          <w:rFonts w:ascii="Arial" w:hAnsi="Arial" w:cs="Arial"/>
          <w:sz w:val="22"/>
          <w:szCs w:val="22"/>
        </w:rPr>
        <w:t>Furthermore, the undersigned</w:t>
      </w:r>
      <w:r w:rsidR="00877F91" w:rsidRPr="00690A08">
        <w:rPr>
          <w:rFonts w:ascii="Arial" w:hAnsi="Arial" w:cs="Arial"/>
          <w:sz w:val="22"/>
          <w:szCs w:val="22"/>
        </w:rPr>
        <w:t xml:space="preserve"> ha</w:t>
      </w:r>
      <w:r w:rsidRPr="00690A08">
        <w:rPr>
          <w:rFonts w:ascii="Arial" w:hAnsi="Arial" w:cs="Arial"/>
          <w:sz w:val="22"/>
          <w:szCs w:val="22"/>
        </w:rPr>
        <w:t>s</w:t>
      </w:r>
      <w:r w:rsidR="00877F91" w:rsidRPr="00690A08">
        <w:rPr>
          <w:rFonts w:ascii="Arial" w:hAnsi="Arial" w:cs="Arial"/>
          <w:sz w:val="22"/>
          <w:szCs w:val="22"/>
        </w:rPr>
        <w:t xml:space="preserve"> been advised </w:t>
      </w:r>
      <w:r w:rsidRPr="00690A08">
        <w:rPr>
          <w:rFonts w:ascii="Arial" w:hAnsi="Arial" w:cs="Arial"/>
          <w:sz w:val="22"/>
          <w:szCs w:val="22"/>
        </w:rPr>
        <w:t xml:space="preserve">of </w:t>
      </w:r>
      <w:r w:rsidR="00877F91" w:rsidRPr="00690A08">
        <w:rPr>
          <w:rFonts w:ascii="Arial" w:hAnsi="Arial" w:cs="Arial"/>
          <w:sz w:val="22"/>
          <w:szCs w:val="22"/>
        </w:rPr>
        <w:t xml:space="preserve">both </w:t>
      </w:r>
      <w:r w:rsidRPr="00690A08">
        <w:rPr>
          <w:rFonts w:ascii="Arial" w:hAnsi="Arial" w:cs="Arial"/>
          <w:sz w:val="22"/>
          <w:szCs w:val="22"/>
        </w:rPr>
        <w:t>the</w:t>
      </w:r>
      <w:r w:rsidR="00877F91" w:rsidRPr="00690A08">
        <w:rPr>
          <w:rFonts w:ascii="Arial" w:hAnsi="Arial" w:cs="Arial"/>
          <w:sz w:val="22"/>
          <w:szCs w:val="22"/>
        </w:rPr>
        <w:t xml:space="preserve"> right to </w:t>
      </w:r>
      <w:r w:rsidRPr="00690A08">
        <w:rPr>
          <w:rFonts w:ascii="Arial" w:hAnsi="Arial" w:cs="Arial"/>
          <w:sz w:val="22"/>
          <w:szCs w:val="22"/>
        </w:rPr>
        <w:t xml:space="preserve">(a) </w:t>
      </w:r>
      <w:r w:rsidR="00877F91" w:rsidRPr="00690A08">
        <w:rPr>
          <w:rFonts w:ascii="Arial" w:hAnsi="Arial" w:cs="Arial"/>
          <w:sz w:val="22"/>
          <w:szCs w:val="22"/>
        </w:rPr>
        <w:t>withdraw the title insurance application or order</w:t>
      </w:r>
      <w:r w:rsidRPr="00690A08">
        <w:rPr>
          <w:rFonts w:ascii="Arial" w:hAnsi="Arial" w:cs="Arial"/>
          <w:sz w:val="22"/>
          <w:szCs w:val="22"/>
        </w:rPr>
        <w:t>,</w:t>
      </w:r>
      <w:r w:rsidR="00877F91" w:rsidRPr="00690A08">
        <w:rPr>
          <w:rFonts w:ascii="Arial" w:hAnsi="Arial" w:cs="Arial"/>
          <w:sz w:val="22"/>
          <w:szCs w:val="22"/>
        </w:rPr>
        <w:t xml:space="preserve"> and </w:t>
      </w:r>
      <w:r w:rsidRPr="00690A08">
        <w:rPr>
          <w:rFonts w:ascii="Arial" w:hAnsi="Arial" w:cs="Arial"/>
          <w:sz w:val="22"/>
          <w:szCs w:val="22"/>
        </w:rPr>
        <w:t>(b)</w:t>
      </w:r>
      <w:r w:rsidR="00877F91" w:rsidRPr="00690A08">
        <w:rPr>
          <w:rFonts w:ascii="Arial" w:hAnsi="Arial" w:cs="Arial"/>
          <w:sz w:val="22"/>
          <w:szCs w:val="22"/>
        </w:rPr>
        <w:t xml:space="preserve"> appeal the imposition of this special </w:t>
      </w:r>
      <w:r w:rsidRPr="00690A08">
        <w:rPr>
          <w:rFonts w:ascii="Arial" w:hAnsi="Arial" w:cs="Arial"/>
          <w:sz w:val="22"/>
          <w:szCs w:val="22"/>
        </w:rPr>
        <w:t xml:space="preserve">rate or </w:t>
      </w:r>
      <w:r w:rsidR="00877F91" w:rsidRPr="00690A08">
        <w:rPr>
          <w:rFonts w:ascii="Arial" w:hAnsi="Arial" w:cs="Arial"/>
          <w:sz w:val="22"/>
          <w:szCs w:val="22"/>
        </w:rPr>
        <w:t xml:space="preserve">charge to the Commissioner of </w:t>
      </w:r>
      <w:r w:rsidRPr="00690A08">
        <w:rPr>
          <w:rFonts w:ascii="Arial" w:hAnsi="Arial" w:cs="Arial"/>
          <w:sz w:val="22"/>
          <w:szCs w:val="22"/>
        </w:rPr>
        <w:t xml:space="preserve">Banking and </w:t>
      </w:r>
      <w:r w:rsidR="00877F91" w:rsidRPr="00690A08">
        <w:rPr>
          <w:rFonts w:ascii="Arial" w:hAnsi="Arial" w:cs="Arial"/>
          <w:sz w:val="22"/>
          <w:szCs w:val="22"/>
        </w:rPr>
        <w:t xml:space="preserve">Insurance.  </w:t>
      </w:r>
      <w:r w:rsidRPr="00690A08">
        <w:rPr>
          <w:rFonts w:ascii="Arial" w:hAnsi="Arial" w:cs="Arial"/>
          <w:sz w:val="22"/>
          <w:szCs w:val="22"/>
        </w:rPr>
        <w:t>Having been so advised, the undersigned</w:t>
      </w:r>
      <w:r w:rsidR="00877F91" w:rsidRPr="00690A08">
        <w:rPr>
          <w:rFonts w:ascii="Arial" w:hAnsi="Arial" w:cs="Arial"/>
          <w:sz w:val="22"/>
          <w:szCs w:val="22"/>
        </w:rPr>
        <w:t xml:space="preserve"> consent</w:t>
      </w:r>
      <w:r w:rsidRPr="00690A08">
        <w:rPr>
          <w:rFonts w:ascii="Arial" w:hAnsi="Arial" w:cs="Arial"/>
          <w:sz w:val="22"/>
          <w:szCs w:val="22"/>
        </w:rPr>
        <w:t>s</w:t>
      </w:r>
      <w:r w:rsidR="00877F91" w:rsidRPr="00690A08">
        <w:rPr>
          <w:rFonts w:ascii="Arial" w:hAnsi="Arial" w:cs="Arial"/>
          <w:sz w:val="22"/>
          <w:szCs w:val="22"/>
        </w:rPr>
        <w:t xml:space="preserve"> to the </w:t>
      </w:r>
      <w:r w:rsidR="00895B4F" w:rsidRPr="00690A08">
        <w:rPr>
          <w:rFonts w:ascii="Arial" w:hAnsi="Arial" w:cs="Arial"/>
          <w:sz w:val="22"/>
          <w:szCs w:val="22"/>
        </w:rPr>
        <w:t xml:space="preserve">imposition of </w:t>
      </w:r>
      <w:r w:rsidR="00877F91" w:rsidRPr="00690A08">
        <w:rPr>
          <w:rFonts w:ascii="Arial" w:hAnsi="Arial" w:cs="Arial"/>
          <w:sz w:val="22"/>
          <w:szCs w:val="22"/>
        </w:rPr>
        <w:t xml:space="preserve">special </w:t>
      </w:r>
      <w:r w:rsidR="00895B4F" w:rsidRPr="00690A08">
        <w:rPr>
          <w:rFonts w:ascii="Arial" w:hAnsi="Arial" w:cs="Arial"/>
          <w:sz w:val="22"/>
          <w:szCs w:val="22"/>
        </w:rPr>
        <w:t xml:space="preserve">rate(s) or </w:t>
      </w:r>
      <w:r w:rsidR="00877F91" w:rsidRPr="00690A08">
        <w:rPr>
          <w:rFonts w:ascii="Arial" w:hAnsi="Arial" w:cs="Arial"/>
          <w:sz w:val="22"/>
          <w:szCs w:val="22"/>
        </w:rPr>
        <w:t>charge</w:t>
      </w:r>
      <w:r w:rsidR="00895B4F" w:rsidRPr="00690A08">
        <w:rPr>
          <w:rFonts w:ascii="Arial" w:hAnsi="Arial" w:cs="Arial"/>
          <w:sz w:val="22"/>
          <w:szCs w:val="22"/>
        </w:rPr>
        <w:t>(s) as set forth below:</w:t>
      </w:r>
    </w:p>
    <w:tbl>
      <w:tblPr>
        <w:tblStyle w:val="TableGrid"/>
        <w:tblW w:w="0" w:type="auto"/>
        <w:jc w:val="center"/>
        <w:tblLook w:val="04A0" w:firstRow="1" w:lastRow="0" w:firstColumn="1" w:lastColumn="0" w:noHBand="0" w:noVBand="1"/>
      </w:tblPr>
      <w:tblGrid>
        <w:gridCol w:w="4068"/>
        <w:gridCol w:w="3960"/>
      </w:tblGrid>
      <w:tr w:rsidR="00895B4F" w:rsidRPr="00690A08" w:rsidTr="00895B4F">
        <w:trPr>
          <w:jc w:val="center"/>
        </w:trPr>
        <w:tc>
          <w:tcPr>
            <w:tcW w:w="4068" w:type="dxa"/>
            <w:shd w:val="clear" w:color="auto" w:fill="000000" w:themeFill="text1"/>
          </w:tcPr>
          <w:p w:rsidR="00895B4F" w:rsidRPr="00690A08" w:rsidRDefault="00895B4F" w:rsidP="00C00F11">
            <w:pPr>
              <w:widowControl w:val="0"/>
              <w:rPr>
                <w:rFonts w:ascii="Arial" w:hAnsi="Arial" w:cs="Arial"/>
                <w:color w:val="FFFFFF" w:themeColor="background1"/>
                <w:sz w:val="22"/>
                <w:szCs w:val="22"/>
              </w:rPr>
            </w:pPr>
            <w:r w:rsidRPr="00690A08">
              <w:rPr>
                <w:rFonts w:ascii="Arial" w:hAnsi="Arial" w:cs="Arial"/>
                <w:color w:val="FFFFFF" w:themeColor="background1"/>
                <w:sz w:val="22"/>
                <w:szCs w:val="22"/>
              </w:rPr>
              <w:t>Rate Manual Section</w:t>
            </w:r>
          </w:p>
        </w:tc>
        <w:tc>
          <w:tcPr>
            <w:tcW w:w="3960" w:type="dxa"/>
            <w:shd w:val="clear" w:color="auto" w:fill="000000" w:themeFill="text1"/>
          </w:tcPr>
          <w:p w:rsidR="00895B4F" w:rsidRPr="00690A08" w:rsidRDefault="00895B4F" w:rsidP="00C00F11">
            <w:pPr>
              <w:widowControl w:val="0"/>
              <w:rPr>
                <w:rFonts w:ascii="Arial" w:hAnsi="Arial" w:cs="Arial"/>
                <w:color w:val="FFFFFF" w:themeColor="background1"/>
                <w:sz w:val="22"/>
                <w:szCs w:val="22"/>
              </w:rPr>
            </w:pPr>
            <w:r w:rsidRPr="00690A08">
              <w:rPr>
                <w:rFonts w:ascii="Arial" w:hAnsi="Arial" w:cs="Arial"/>
                <w:color w:val="FFFFFF" w:themeColor="background1"/>
                <w:sz w:val="22"/>
                <w:szCs w:val="22"/>
              </w:rPr>
              <w:t>Charge</w:t>
            </w:r>
          </w:p>
        </w:tc>
      </w:tr>
      <w:tr w:rsidR="00895B4F" w:rsidRPr="00690A08" w:rsidTr="00895B4F">
        <w:trPr>
          <w:jc w:val="center"/>
        </w:trPr>
        <w:tc>
          <w:tcPr>
            <w:tcW w:w="4068" w:type="dxa"/>
          </w:tcPr>
          <w:p w:rsidR="00895B4F" w:rsidRPr="00690A08" w:rsidRDefault="00895B4F" w:rsidP="00C00F11">
            <w:pPr>
              <w:widowControl w:val="0"/>
              <w:rPr>
                <w:rFonts w:ascii="Arial" w:hAnsi="Arial" w:cs="Arial"/>
                <w:sz w:val="22"/>
                <w:szCs w:val="22"/>
              </w:rPr>
            </w:pPr>
            <w:r w:rsidRPr="00690A08">
              <w:rPr>
                <w:rFonts w:ascii="Arial" w:hAnsi="Arial" w:cs="Arial"/>
                <w:sz w:val="22"/>
                <w:szCs w:val="22"/>
              </w:rPr>
              <w:t>§3.1.5(a)</w:t>
            </w:r>
          </w:p>
        </w:tc>
        <w:tc>
          <w:tcPr>
            <w:tcW w:w="3960" w:type="dxa"/>
          </w:tcPr>
          <w:p w:rsidR="00895B4F" w:rsidRPr="00690A08" w:rsidRDefault="00895B4F" w:rsidP="00C00F11">
            <w:pPr>
              <w:widowControl w:val="0"/>
              <w:rPr>
                <w:rFonts w:ascii="Arial" w:hAnsi="Arial" w:cs="Arial"/>
                <w:sz w:val="22"/>
                <w:szCs w:val="22"/>
              </w:rPr>
            </w:pPr>
            <w:r w:rsidRPr="00690A08">
              <w:rPr>
                <w:rFonts w:ascii="Arial" w:hAnsi="Arial" w:cs="Arial"/>
                <w:sz w:val="22"/>
                <w:szCs w:val="22"/>
              </w:rPr>
              <w:t>$</w:t>
            </w:r>
          </w:p>
        </w:tc>
      </w:tr>
      <w:tr w:rsidR="00895B4F" w:rsidRPr="00690A08" w:rsidTr="00895B4F">
        <w:trPr>
          <w:jc w:val="center"/>
        </w:trPr>
        <w:tc>
          <w:tcPr>
            <w:tcW w:w="4068" w:type="dxa"/>
          </w:tcPr>
          <w:p w:rsidR="00895B4F" w:rsidRPr="00690A08" w:rsidRDefault="00895B4F" w:rsidP="00C00F11">
            <w:pPr>
              <w:widowControl w:val="0"/>
              <w:rPr>
                <w:rFonts w:ascii="Arial" w:hAnsi="Arial" w:cs="Arial"/>
                <w:sz w:val="22"/>
                <w:szCs w:val="22"/>
              </w:rPr>
            </w:pPr>
            <w:r w:rsidRPr="00690A08">
              <w:rPr>
                <w:rFonts w:ascii="Arial" w:hAnsi="Arial" w:cs="Arial"/>
                <w:sz w:val="22"/>
                <w:szCs w:val="22"/>
              </w:rPr>
              <w:t>§3.1.5(b)</w:t>
            </w:r>
          </w:p>
        </w:tc>
        <w:tc>
          <w:tcPr>
            <w:tcW w:w="3960" w:type="dxa"/>
          </w:tcPr>
          <w:p w:rsidR="00895B4F" w:rsidRPr="00690A08" w:rsidRDefault="00895B4F" w:rsidP="00C00F11">
            <w:pPr>
              <w:widowControl w:val="0"/>
              <w:rPr>
                <w:rFonts w:ascii="Arial" w:hAnsi="Arial" w:cs="Arial"/>
                <w:sz w:val="22"/>
                <w:szCs w:val="22"/>
              </w:rPr>
            </w:pPr>
            <w:r w:rsidRPr="00690A08">
              <w:rPr>
                <w:rFonts w:ascii="Arial" w:hAnsi="Arial" w:cs="Arial"/>
                <w:sz w:val="22"/>
                <w:szCs w:val="22"/>
              </w:rPr>
              <w:t>$</w:t>
            </w:r>
          </w:p>
        </w:tc>
      </w:tr>
      <w:tr w:rsidR="00895B4F" w:rsidRPr="00690A08" w:rsidTr="00895B4F">
        <w:trPr>
          <w:jc w:val="center"/>
        </w:trPr>
        <w:tc>
          <w:tcPr>
            <w:tcW w:w="4068" w:type="dxa"/>
          </w:tcPr>
          <w:p w:rsidR="00895B4F" w:rsidRPr="00690A08" w:rsidRDefault="00895B4F" w:rsidP="00C00F11">
            <w:pPr>
              <w:widowControl w:val="0"/>
              <w:rPr>
                <w:rFonts w:ascii="Arial" w:hAnsi="Arial" w:cs="Arial"/>
                <w:sz w:val="22"/>
                <w:szCs w:val="22"/>
              </w:rPr>
            </w:pPr>
            <w:r w:rsidRPr="00690A08">
              <w:rPr>
                <w:rFonts w:ascii="Arial" w:hAnsi="Arial" w:cs="Arial"/>
                <w:sz w:val="22"/>
                <w:szCs w:val="22"/>
              </w:rPr>
              <w:t>§3.1.5(c)</w:t>
            </w:r>
          </w:p>
        </w:tc>
        <w:tc>
          <w:tcPr>
            <w:tcW w:w="3960" w:type="dxa"/>
          </w:tcPr>
          <w:p w:rsidR="00895B4F" w:rsidRPr="00690A08" w:rsidRDefault="00895B4F" w:rsidP="00C00F11">
            <w:pPr>
              <w:widowControl w:val="0"/>
              <w:rPr>
                <w:rFonts w:ascii="Arial" w:hAnsi="Arial" w:cs="Arial"/>
                <w:sz w:val="22"/>
                <w:szCs w:val="22"/>
              </w:rPr>
            </w:pPr>
            <w:r w:rsidRPr="00690A08">
              <w:rPr>
                <w:rFonts w:ascii="Arial" w:hAnsi="Arial" w:cs="Arial"/>
                <w:sz w:val="22"/>
                <w:szCs w:val="22"/>
              </w:rPr>
              <w:t>$</w:t>
            </w:r>
          </w:p>
        </w:tc>
      </w:tr>
    </w:tbl>
    <w:p w:rsidR="00D42B10" w:rsidRPr="00690A08" w:rsidRDefault="00D42B10" w:rsidP="00C00F11">
      <w:pPr>
        <w:widowControl w:val="0"/>
        <w:rPr>
          <w:rFonts w:ascii="Arial" w:hAnsi="Arial" w:cs="Arial"/>
          <w:sz w:val="22"/>
          <w:szCs w:val="22"/>
        </w:rPr>
      </w:pPr>
    </w:p>
    <w:p w:rsidR="00D42B10" w:rsidRPr="00C00F11" w:rsidRDefault="00690A08" w:rsidP="00690A08">
      <w:pPr>
        <w:widowControl w:val="0"/>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877F91" w:rsidRPr="00690A08">
        <w:rPr>
          <w:rFonts w:ascii="Arial" w:hAnsi="Arial" w:cs="Arial"/>
          <w:sz w:val="22"/>
          <w:szCs w:val="22"/>
        </w:rPr>
        <w:t>___________________________________</w:t>
      </w:r>
    </w:p>
    <w:p w:rsidR="00D42B10" w:rsidRPr="00C00F11" w:rsidRDefault="00D42B10" w:rsidP="00C00F11">
      <w:pPr>
        <w:widowControl w:val="0"/>
        <w:rPr>
          <w:rFonts w:ascii="Arial" w:hAnsi="Arial" w:cs="Arial"/>
        </w:rPr>
      </w:pPr>
    </w:p>
    <w:p w:rsidR="00D42B10" w:rsidRPr="00C00F11" w:rsidRDefault="00D42B10" w:rsidP="00C00F11">
      <w:pPr>
        <w:widowControl w:val="0"/>
        <w:rPr>
          <w:rFonts w:ascii="Arial" w:hAnsi="Arial" w:cs="Arial"/>
        </w:rPr>
      </w:pPr>
    </w:p>
    <w:p w:rsidR="00D42B10" w:rsidRDefault="00690A08" w:rsidP="00690A08">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877F91" w:rsidRPr="00C00F11">
        <w:rPr>
          <w:rFonts w:ascii="Arial" w:hAnsi="Arial" w:cs="Arial"/>
        </w:rPr>
        <w:t>___</w:t>
      </w:r>
      <w:r>
        <w:rPr>
          <w:rFonts w:ascii="Arial" w:hAnsi="Arial" w:cs="Arial"/>
        </w:rPr>
        <w:t>____________________________</w:t>
      </w:r>
    </w:p>
    <w:p w:rsidR="00895B4F" w:rsidRPr="00C00F11" w:rsidRDefault="00895B4F" w:rsidP="00C00F11">
      <w:pPr>
        <w:widowControl w:val="0"/>
        <w:rPr>
          <w:rFonts w:ascii="Arial" w:hAnsi="Arial" w:cs="Arial"/>
        </w:rPr>
      </w:pPr>
    </w:p>
    <w:p w:rsidR="00877F91" w:rsidRPr="00C00F11" w:rsidRDefault="00690A08" w:rsidP="00690A08">
      <w:pPr>
        <w:widowControl w:val="0"/>
        <w:spacing w:line="0" w:lineRule="atLeast"/>
        <w:jc w:val="center"/>
        <w:rPr>
          <w:rFonts w:ascii="Arial" w:hAnsi="Arial" w:cs="Arial"/>
        </w:rPr>
      </w:pPr>
      <w:r>
        <w:rPr>
          <w:rFonts w:ascii="Arial" w:hAnsi="Arial" w:cs="Arial"/>
        </w:rPr>
        <w:t xml:space="preserve">                                                                                                   </w:t>
      </w:r>
      <w:bookmarkStart w:id="0" w:name="_GoBack"/>
      <w:bookmarkEnd w:id="0"/>
      <w:r w:rsidR="00877F91" w:rsidRPr="00C00F11">
        <w:rPr>
          <w:rFonts w:ascii="Arial" w:hAnsi="Arial" w:cs="Arial"/>
        </w:rPr>
        <w:t>DATE:</w:t>
      </w:r>
      <w:r w:rsidR="00E01D1E">
        <w:rPr>
          <w:rFonts w:ascii="Arial" w:hAnsi="Arial" w:cs="Arial"/>
        </w:rPr>
        <w:t xml:space="preserve"> ________</w:t>
      </w:r>
    </w:p>
    <w:sectPr w:rsidR="00877F91" w:rsidRPr="00C00F11" w:rsidSect="00E01D1E">
      <w:headerReference w:type="even" r:id="rId9"/>
      <w:headerReference w:type="default" r:id="rId10"/>
      <w:footerReference w:type="even" r:id="rId11"/>
      <w:footerReference w:type="default" r:id="rId12"/>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64" w:rsidRDefault="001D7264">
      <w:r>
        <w:separator/>
      </w:r>
    </w:p>
  </w:endnote>
  <w:endnote w:type="continuationSeparator" w:id="0">
    <w:p w:rsidR="001D7264" w:rsidRDefault="001D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0" w:rsidRDefault="00877F91">
    <w:pPr>
      <w:widowControl w:val="0"/>
      <w:tabs>
        <w:tab w:val="right" w:pos="9360"/>
      </w:tabs>
      <w:spacing w:line="0" w:lineRule="atLeast"/>
      <w:jc w:val="both"/>
    </w:pPr>
    <w:r>
      <w:tab/>
      <w:t>NJRB 6-03</w:t>
    </w:r>
  </w:p>
  <w:p w:rsidR="00D42B10" w:rsidRDefault="00877F91">
    <w:pPr>
      <w:widowControl w:val="0"/>
      <w:tabs>
        <w:tab w:val="right" w:pos="9360"/>
      </w:tabs>
    </w:pPr>
    <w:r>
      <w:tab/>
      <w:t>11/1/91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0" w:rsidRPr="00E01D1E" w:rsidRDefault="00E01D1E">
    <w:pPr>
      <w:widowControl w:val="0"/>
      <w:tabs>
        <w:tab w:val="right" w:pos="9360"/>
      </w:tabs>
      <w:jc w:val="both"/>
      <w:rPr>
        <w:sz w:val="16"/>
        <w:szCs w:val="16"/>
      </w:rPr>
    </w:pPr>
    <w:r>
      <w:rPr>
        <w:rFonts w:ascii="Arial" w:hAnsi="Arial"/>
        <w:sz w:val="16"/>
      </w:rPr>
      <w:t>NEW JERSEY LAND TITLE</w:t>
    </w:r>
    <w:r w:rsidR="00877F91" w:rsidRPr="00E01D1E">
      <w:rPr>
        <w:sz w:val="16"/>
        <w:szCs w:val="16"/>
      </w:rPr>
      <w:tab/>
      <w:t>NJRB 6-03</w:t>
    </w:r>
  </w:p>
  <w:p w:rsidR="00D42B10" w:rsidRPr="00E01D1E" w:rsidRDefault="00E01D1E">
    <w:pPr>
      <w:widowControl w:val="0"/>
      <w:tabs>
        <w:tab w:val="right" w:pos="9360"/>
      </w:tabs>
      <w:spacing w:line="0" w:lineRule="atLeast"/>
      <w:rPr>
        <w:sz w:val="16"/>
        <w:szCs w:val="16"/>
      </w:rPr>
    </w:pPr>
    <w:r w:rsidRPr="00FD60BD">
      <w:rPr>
        <w:rFonts w:ascii="Arial" w:hAnsi="Arial" w:cs="Arial"/>
        <w:sz w:val="16"/>
        <w:szCs w:val="16"/>
      </w:rPr>
      <w:t>INSURANCE RATING BUREAU</w:t>
    </w:r>
    <w:r w:rsidR="00877F91" w:rsidRPr="00E01D1E">
      <w:rPr>
        <w:sz w:val="16"/>
        <w:szCs w:val="16"/>
      </w:rPr>
      <w:tab/>
    </w:r>
    <w:r w:rsidR="00895B4F">
      <w:rPr>
        <w:sz w:val="16"/>
        <w:szCs w:val="16"/>
      </w:rPr>
      <w:t xml:space="preserve">Last </w:t>
    </w:r>
    <w:proofErr w:type="gramStart"/>
    <w:r w:rsidR="00895B4F">
      <w:rPr>
        <w:sz w:val="16"/>
        <w:szCs w:val="16"/>
      </w:rPr>
      <w:t>Revised</w:t>
    </w:r>
    <w:r w:rsidR="00B92365">
      <w:rPr>
        <w:sz w:val="16"/>
        <w:szCs w:val="16"/>
      </w:rPr>
      <w:t xml:space="preserve">  4</w:t>
    </w:r>
    <w:proofErr w:type="gramEnd"/>
    <w:r w:rsidR="00B92365">
      <w:rPr>
        <w:sz w:val="16"/>
        <w:szCs w:val="16"/>
      </w:rPr>
      <w:t>/1/</w:t>
    </w:r>
    <w:r w:rsidR="00895B4F">
      <w:rPr>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64" w:rsidRDefault="001D7264">
      <w:r>
        <w:separator/>
      </w:r>
    </w:p>
  </w:footnote>
  <w:footnote w:type="continuationSeparator" w:id="0">
    <w:p w:rsidR="001D7264" w:rsidRDefault="001D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0" w:rsidRDefault="00D42B10">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10" w:rsidRDefault="00D42B10">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31A"/>
    <w:multiLevelType w:val="hybridMultilevel"/>
    <w:tmpl w:val="031CB5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44F0"/>
    <w:multiLevelType w:val="hybridMultilevel"/>
    <w:tmpl w:val="BFB03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F17341"/>
    <w:multiLevelType w:val="hybridMultilevel"/>
    <w:tmpl w:val="4A68DFC4"/>
    <w:lvl w:ilvl="0" w:tplc="99E46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63083E"/>
    <w:multiLevelType w:val="hybridMultilevel"/>
    <w:tmpl w:val="19B4892E"/>
    <w:lvl w:ilvl="0" w:tplc="C768717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11"/>
    <w:rsid w:val="001D7264"/>
    <w:rsid w:val="0033298D"/>
    <w:rsid w:val="00442E17"/>
    <w:rsid w:val="00572D6F"/>
    <w:rsid w:val="00690A08"/>
    <w:rsid w:val="006D29B9"/>
    <w:rsid w:val="00802372"/>
    <w:rsid w:val="00806E51"/>
    <w:rsid w:val="00877F91"/>
    <w:rsid w:val="00895B4F"/>
    <w:rsid w:val="00B92365"/>
    <w:rsid w:val="00C00F11"/>
    <w:rsid w:val="00D42B10"/>
    <w:rsid w:val="00D867C3"/>
    <w:rsid w:val="00DB23FA"/>
    <w:rsid w:val="00DF1F51"/>
    <w:rsid w:val="00E01D1E"/>
    <w:rsid w:val="00E712C4"/>
    <w:rsid w:val="00E84CE9"/>
    <w:rsid w:val="00FB2679"/>
    <w:rsid w:val="00FD6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1E"/>
    <w:pPr>
      <w:tabs>
        <w:tab w:val="center" w:pos="4680"/>
        <w:tab w:val="right" w:pos="9360"/>
      </w:tabs>
    </w:pPr>
  </w:style>
  <w:style w:type="character" w:customStyle="1" w:styleId="HeaderChar">
    <w:name w:val="Header Char"/>
    <w:basedOn w:val="DefaultParagraphFont"/>
    <w:link w:val="Header"/>
    <w:uiPriority w:val="99"/>
    <w:rsid w:val="00E01D1E"/>
    <w:rPr>
      <w:sz w:val="24"/>
    </w:rPr>
  </w:style>
  <w:style w:type="paragraph" w:styleId="Footer">
    <w:name w:val="footer"/>
    <w:basedOn w:val="Normal"/>
    <w:link w:val="FooterChar"/>
    <w:uiPriority w:val="99"/>
    <w:unhideWhenUsed/>
    <w:rsid w:val="00E01D1E"/>
    <w:pPr>
      <w:tabs>
        <w:tab w:val="center" w:pos="4680"/>
        <w:tab w:val="right" w:pos="9360"/>
      </w:tabs>
    </w:pPr>
  </w:style>
  <w:style w:type="character" w:customStyle="1" w:styleId="FooterChar">
    <w:name w:val="Footer Char"/>
    <w:basedOn w:val="DefaultParagraphFont"/>
    <w:link w:val="Footer"/>
    <w:uiPriority w:val="99"/>
    <w:rsid w:val="00E01D1E"/>
    <w:rPr>
      <w:sz w:val="24"/>
    </w:rPr>
  </w:style>
  <w:style w:type="paragraph" w:styleId="BalloonText">
    <w:name w:val="Balloon Text"/>
    <w:basedOn w:val="Normal"/>
    <w:link w:val="BalloonTextChar"/>
    <w:uiPriority w:val="99"/>
    <w:semiHidden/>
    <w:unhideWhenUsed/>
    <w:rsid w:val="00DF1F51"/>
    <w:rPr>
      <w:rFonts w:ascii="Tahoma" w:hAnsi="Tahoma" w:cs="Tahoma"/>
      <w:sz w:val="16"/>
      <w:szCs w:val="16"/>
    </w:rPr>
  </w:style>
  <w:style w:type="character" w:customStyle="1" w:styleId="BalloonTextChar">
    <w:name w:val="Balloon Text Char"/>
    <w:basedOn w:val="DefaultParagraphFont"/>
    <w:link w:val="BalloonText"/>
    <w:uiPriority w:val="99"/>
    <w:semiHidden/>
    <w:rsid w:val="00DF1F51"/>
    <w:rPr>
      <w:rFonts w:ascii="Tahoma" w:hAnsi="Tahoma" w:cs="Tahoma"/>
      <w:sz w:val="16"/>
      <w:szCs w:val="16"/>
    </w:rPr>
  </w:style>
  <w:style w:type="paragraph" w:styleId="ListParagraph">
    <w:name w:val="List Paragraph"/>
    <w:basedOn w:val="Normal"/>
    <w:uiPriority w:val="34"/>
    <w:qFormat/>
    <w:rsid w:val="00DF1F51"/>
    <w:pPr>
      <w:ind w:left="720"/>
      <w:contextualSpacing/>
    </w:pPr>
  </w:style>
  <w:style w:type="table" w:styleId="TableGrid">
    <w:name w:val="Table Grid"/>
    <w:basedOn w:val="TableNormal"/>
    <w:uiPriority w:val="59"/>
    <w:rsid w:val="0089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B1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D1E"/>
    <w:pPr>
      <w:tabs>
        <w:tab w:val="center" w:pos="4680"/>
        <w:tab w:val="right" w:pos="9360"/>
      </w:tabs>
    </w:pPr>
  </w:style>
  <w:style w:type="character" w:customStyle="1" w:styleId="HeaderChar">
    <w:name w:val="Header Char"/>
    <w:basedOn w:val="DefaultParagraphFont"/>
    <w:link w:val="Header"/>
    <w:uiPriority w:val="99"/>
    <w:rsid w:val="00E01D1E"/>
    <w:rPr>
      <w:sz w:val="24"/>
    </w:rPr>
  </w:style>
  <w:style w:type="paragraph" w:styleId="Footer">
    <w:name w:val="footer"/>
    <w:basedOn w:val="Normal"/>
    <w:link w:val="FooterChar"/>
    <w:uiPriority w:val="99"/>
    <w:unhideWhenUsed/>
    <w:rsid w:val="00E01D1E"/>
    <w:pPr>
      <w:tabs>
        <w:tab w:val="center" w:pos="4680"/>
        <w:tab w:val="right" w:pos="9360"/>
      </w:tabs>
    </w:pPr>
  </w:style>
  <w:style w:type="character" w:customStyle="1" w:styleId="FooterChar">
    <w:name w:val="Footer Char"/>
    <w:basedOn w:val="DefaultParagraphFont"/>
    <w:link w:val="Footer"/>
    <w:uiPriority w:val="99"/>
    <w:rsid w:val="00E01D1E"/>
    <w:rPr>
      <w:sz w:val="24"/>
    </w:rPr>
  </w:style>
  <w:style w:type="paragraph" w:styleId="BalloonText">
    <w:name w:val="Balloon Text"/>
    <w:basedOn w:val="Normal"/>
    <w:link w:val="BalloonTextChar"/>
    <w:uiPriority w:val="99"/>
    <w:semiHidden/>
    <w:unhideWhenUsed/>
    <w:rsid w:val="00DF1F51"/>
    <w:rPr>
      <w:rFonts w:ascii="Tahoma" w:hAnsi="Tahoma" w:cs="Tahoma"/>
      <w:sz w:val="16"/>
      <w:szCs w:val="16"/>
    </w:rPr>
  </w:style>
  <w:style w:type="character" w:customStyle="1" w:styleId="BalloonTextChar">
    <w:name w:val="Balloon Text Char"/>
    <w:basedOn w:val="DefaultParagraphFont"/>
    <w:link w:val="BalloonText"/>
    <w:uiPriority w:val="99"/>
    <w:semiHidden/>
    <w:rsid w:val="00DF1F51"/>
    <w:rPr>
      <w:rFonts w:ascii="Tahoma" w:hAnsi="Tahoma" w:cs="Tahoma"/>
      <w:sz w:val="16"/>
      <w:szCs w:val="16"/>
    </w:rPr>
  </w:style>
  <w:style w:type="paragraph" w:styleId="ListParagraph">
    <w:name w:val="List Paragraph"/>
    <w:basedOn w:val="Normal"/>
    <w:uiPriority w:val="34"/>
    <w:qFormat/>
    <w:rsid w:val="00DF1F51"/>
    <w:pPr>
      <w:ind w:left="720"/>
      <w:contextualSpacing/>
    </w:pPr>
  </w:style>
  <w:style w:type="table" w:styleId="TableGrid">
    <w:name w:val="Table Grid"/>
    <w:basedOn w:val="TableNormal"/>
    <w:uiPriority w:val="59"/>
    <w:rsid w:val="00895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wcfuser</dc:creator>
  <cp:lastModifiedBy>Debbie Thoms</cp:lastModifiedBy>
  <cp:revision>3</cp:revision>
  <cp:lastPrinted>2015-03-04T19:48:00Z</cp:lastPrinted>
  <dcterms:created xsi:type="dcterms:W3CDTF">2015-08-25T20:52:00Z</dcterms:created>
  <dcterms:modified xsi:type="dcterms:W3CDTF">2015-11-24T17:27:00Z</dcterms:modified>
</cp:coreProperties>
</file>